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54" w:rsidRDefault="00DC6554" w:rsidP="00A810D0">
      <w:pPr>
        <w:pStyle w:val="Heading1"/>
        <w:jc w:val="both"/>
        <w:rPr>
          <w:color w:val="000000"/>
        </w:rPr>
      </w:pPr>
      <w:bookmarkStart w:id="0" w:name="_GoBack"/>
      <w:bookmarkEnd w:id="0"/>
      <w:r>
        <w:rPr>
          <w:color w:val="000000"/>
        </w:rPr>
        <w:t>SECTION 15</w:t>
      </w:r>
    </w:p>
    <w:p w:rsidR="00DC6554" w:rsidRDefault="00DC6554" w:rsidP="00A810D0">
      <w:pPr>
        <w:jc w:val="both"/>
        <w:rPr>
          <w:b/>
          <w:color w:val="000000"/>
          <w:sz w:val="28"/>
        </w:rPr>
      </w:pPr>
    </w:p>
    <w:p w:rsidR="00DC6554" w:rsidRPr="004146F3" w:rsidRDefault="00DC6554" w:rsidP="00A810D0">
      <w:pPr>
        <w:jc w:val="both"/>
        <w:rPr>
          <w:b/>
          <w:sz w:val="29"/>
          <w:szCs w:val="29"/>
        </w:rPr>
      </w:pPr>
      <w:r w:rsidRPr="004146F3">
        <w:rPr>
          <w:b/>
          <w:sz w:val="29"/>
          <w:szCs w:val="29"/>
        </w:rPr>
        <w:t>TABLE GAMES EQUIPMENT</w:t>
      </w:r>
    </w:p>
    <w:p w:rsidR="00DC6554" w:rsidRDefault="00DC6554" w:rsidP="00A810D0">
      <w:pPr>
        <w:jc w:val="both"/>
        <w:rPr>
          <w:b/>
        </w:rPr>
      </w:pPr>
    </w:p>
    <w:p w:rsidR="00DC6554" w:rsidRDefault="00DC6554" w:rsidP="00A810D0">
      <w:pPr>
        <w:pStyle w:val="BodyTextIndent2"/>
        <w:ind w:left="0"/>
        <w:jc w:val="both"/>
      </w:pPr>
      <w:r>
        <w:t>The licensee must inspect and approve all gaming equipment in the table games area before use.  All surveillance systems and camera coverage of all gaming activity and devices must receive initial approval from the Division prior to being utilized.  After the initial approval, the licensee will approve all changes to its cameras.  The procedures in this section do not apply to player-banked poker.</w:t>
      </w:r>
    </w:p>
    <w:p w:rsidR="00DC6554" w:rsidRDefault="00DC6554" w:rsidP="00A810D0">
      <w:pPr>
        <w:jc w:val="both"/>
      </w:pPr>
    </w:p>
    <w:p w:rsidR="00DC6554" w:rsidRDefault="00DC6554" w:rsidP="00A810D0">
      <w:pPr>
        <w:jc w:val="both"/>
      </w:pPr>
      <w:r>
        <w:t xml:space="preserve">All gaming equipment must be maintained in good working order or removed from play.  This includes, but is not limited to, card shoes, automatic card shufflers, </w:t>
      </w:r>
      <w:r w:rsidR="00304ECD">
        <w:t xml:space="preserve">validation units, bill validators, printers, </w:t>
      </w:r>
      <w:r>
        <w:t>dice, roulette wheels, roulette balls, drop boxes, dealer tip boxes</w:t>
      </w:r>
      <w:r w:rsidR="00304ECD">
        <w:t>, toke tubes</w:t>
      </w:r>
      <w:r>
        <w:t xml:space="preserve"> and table tray lids.</w:t>
      </w:r>
    </w:p>
    <w:p w:rsidR="00DC6554" w:rsidRDefault="00DC6554" w:rsidP="00A810D0">
      <w:pPr>
        <w:pStyle w:val="BodyTextIndent2"/>
        <w:ind w:left="0"/>
        <w:jc w:val="both"/>
      </w:pPr>
    </w:p>
    <w:p w:rsidR="001A0C82" w:rsidRDefault="001A0C82" w:rsidP="00A810D0">
      <w:pPr>
        <w:jc w:val="both"/>
      </w:pPr>
      <w:r w:rsidRPr="000A3D8E">
        <w:rPr>
          <w:b/>
        </w:rPr>
        <w:t>A.</w:t>
      </w:r>
      <w:r>
        <w:tab/>
      </w:r>
      <w:r w:rsidRPr="001A0C82">
        <w:rPr>
          <w:b/>
        </w:rPr>
        <w:t>CARD AND DICE INVENTORY</w:t>
      </w:r>
    </w:p>
    <w:p w:rsidR="00DC6554" w:rsidRDefault="001A0C82" w:rsidP="001A0C82">
      <w:pPr>
        <w:jc w:val="both"/>
      </w:pPr>
      <w:r>
        <w:tab/>
      </w:r>
    </w:p>
    <w:p w:rsidR="00DC6554" w:rsidRDefault="00DC6554" w:rsidP="00A810D0">
      <w:pPr>
        <w:jc w:val="both"/>
      </w:pPr>
      <w:r>
        <w:t>The licensee is required to have a locked storage area for cards</w:t>
      </w:r>
      <w:r w:rsidR="007A6096">
        <w:t>,</w:t>
      </w:r>
      <w:r>
        <w:t xml:space="preserve"> dice</w:t>
      </w:r>
      <w:r w:rsidR="007A6096">
        <w:t>, and ticket paper stock</w:t>
      </w:r>
      <w:r>
        <w:t xml:space="preserve">.  The licensee </w:t>
      </w:r>
      <w:r w:rsidR="00304ECD">
        <w:t xml:space="preserve">must have a storage </w:t>
      </w:r>
      <w:r w:rsidR="007A6096">
        <w:t xml:space="preserve">area </w:t>
      </w:r>
      <w:r w:rsidR="00304ECD">
        <w:t xml:space="preserve">located on site.  </w:t>
      </w:r>
      <w:r>
        <w:t xml:space="preserve">  All </w:t>
      </w:r>
      <w:r w:rsidR="00304ECD">
        <w:t>on site</w:t>
      </w:r>
      <w:r>
        <w:t xml:space="preserve"> storage areas shall have two separate locks</w:t>
      </w:r>
      <w:r w:rsidR="00304ECD">
        <w:t>, shufflers are not be used as secondary storage</w:t>
      </w:r>
      <w:r>
        <w:t xml:space="preserve">.  The Security Department shall maintain one key, and the Table Games Department shall maintain the other key. </w:t>
      </w:r>
      <w:r w:rsidR="00304ECD">
        <w:t>If the licensee has a secondary storage area off site it must be secure and approved by the Division.  A description of the secondary location must be included in the pit supervision plan.</w:t>
      </w:r>
    </w:p>
    <w:p w:rsidR="00DC6554" w:rsidRDefault="00DC6554" w:rsidP="00A810D0">
      <w:pPr>
        <w:jc w:val="both"/>
      </w:pPr>
    </w:p>
    <w:p w:rsidR="00DC6554" w:rsidRPr="00E66442" w:rsidRDefault="00DC6554" w:rsidP="00A810D0">
      <w:pPr>
        <w:jc w:val="both"/>
      </w:pPr>
      <w:r w:rsidRPr="00E66442">
        <w:t>The licensee may utilize the pit podium for storage of card</w:t>
      </w:r>
      <w:r w:rsidR="007A6096">
        <w:t>,</w:t>
      </w:r>
      <w:r w:rsidRPr="00E66442">
        <w:t xml:space="preserve"> dice</w:t>
      </w:r>
      <w:r w:rsidR="007A6096">
        <w:t>, and ticket paper stock</w:t>
      </w:r>
      <w:r w:rsidRPr="00E66442">
        <w:t xml:space="preserve"> inventory</w:t>
      </w:r>
      <w:r>
        <w:t xml:space="preserve">. </w:t>
      </w:r>
      <w:r w:rsidRPr="008E234F">
        <w:t>The licensee may store as many sets of cards</w:t>
      </w:r>
      <w:r w:rsidR="007A6096">
        <w:t>,</w:t>
      </w:r>
      <w:r w:rsidRPr="008E234F">
        <w:t xml:space="preserve"> dice</w:t>
      </w:r>
      <w:r w:rsidR="007A6096">
        <w:t>, and ticket paper stock</w:t>
      </w:r>
      <w:r w:rsidRPr="008E234F">
        <w:t xml:space="preserve"> necessary for daily operations in the pit podium</w:t>
      </w:r>
      <w:r w:rsidRPr="00D877D9">
        <w:t>.</w:t>
      </w:r>
      <w:r w:rsidRPr="00E66442">
        <w:t xml:space="preserve">  The pit podium, when utilized at this capacity, will not be considered secondary storage. </w:t>
      </w:r>
    </w:p>
    <w:p w:rsidR="00DC6554" w:rsidRDefault="00DC6554" w:rsidP="00A810D0">
      <w:pPr>
        <w:jc w:val="both"/>
      </w:pPr>
    </w:p>
    <w:p w:rsidR="00DC6554" w:rsidRDefault="00DC6554" w:rsidP="00A810D0">
      <w:pPr>
        <w:jc w:val="both"/>
      </w:pPr>
      <w:r>
        <w:t>Licensees are required to develop procedures and maintain logs that indicate a correct inventory of cards and dice from receipt to cancellation and/or destruction.  The inventory logs must be accurate, legible, and easy to understand.  The casino is required to have staff immediately available that understand the inventory process/logs and can explain any inquiry from the Division during inspections.</w:t>
      </w:r>
    </w:p>
    <w:p w:rsidR="00DC6554" w:rsidRDefault="00DC6554" w:rsidP="00A810D0">
      <w:pPr>
        <w:jc w:val="both"/>
      </w:pPr>
    </w:p>
    <w:p w:rsidR="00DC6554" w:rsidRDefault="00DC6554" w:rsidP="00A810D0">
      <w:pPr>
        <w:jc w:val="both"/>
      </w:pPr>
      <w:r>
        <w:t xml:space="preserve">A Card and Dice Storage Inventory Log that documents when cards and dice are received into storage and removed to the floor shall be maintained in the storage area and be subject to review by the Division upon request. </w:t>
      </w:r>
    </w:p>
    <w:p w:rsidR="00DC6554" w:rsidRDefault="00DC6554" w:rsidP="00A810D0">
      <w:pPr>
        <w:jc w:val="both"/>
      </w:pPr>
    </w:p>
    <w:p w:rsidR="00DC6554" w:rsidRDefault="00DC6554" w:rsidP="00A810D0">
      <w:pPr>
        <w:jc w:val="both"/>
      </w:pPr>
      <w:r>
        <w:t xml:space="preserve">A Card and Dice Pit Inventory Log that documents when cards and dice are received at the pit podium and removed for destruction shall be maintained in the pit area and be subject to review by the Division upon request. </w:t>
      </w:r>
    </w:p>
    <w:p w:rsidR="00DC6554" w:rsidRDefault="00DC6554" w:rsidP="00A810D0">
      <w:pPr>
        <w:jc w:val="both"/>
      </w:pPr>
    </w:p>
    <w:p w:rsidR="00DC6554" w:rsidRDefault="00DC6554" w:rsidP="00A810D0">
      <w:pPr>
        <w:jc w:val="both"/>
      </w:pPr>
      <w:r>
        <w:t xml:space="preserve">A Card and Dice Cancellation/Destruction Log that documents when cards and dice are cancelled/destroyed shall be maintained in the destruction area and be subject to review by the Division upon request. </w:t>
      </w:r>
    </w:p>
    <w:p w:rsidR="00DC6554" w:rsidRDefault="00DC6554" w:rsidP="00A810D0">
      <w:pPr>
        <w:tabs>
          <w:tab w:val="left" w:pos="720"/>
        </w:tabs>
        <w:jc w:val="both"/>
        <w:rPr>
          <w:color w:val="000000"/>
        </w:rPr>
      </w:pPr>
    </w:p>
    <w:p w:rsidR="00DC6554" w:rsidRDefault="00DC6554" w:rsidP="00A810D0">
      <w:pPr>
        <w:jc w:val="both"/>
      </w:pPr>
      <w:r>
        <w:t xml:space="preserve">On a quarterly basis, accounting or the internal compliance officer must perform a physical count and reconcile to the card and dice inventory and cancellation/destruction logs.  Once the reconciliation is completed, accounting (or the internal compliance officer) shall sign off on the ending inventory.  The reconciliation is forwarded to table games management acknowledging the results of the inventory.  </w:t>
      </w:r>
    </w:p>
    <w:p w:rsidR="001A0C82" w:rsidRDefault="001A0C82" w:rsidP="001A0C82">
      <w:pPr>
        <w:pStyle w:val="BodyTextIndent2"/>
        <w:ind w:left="0"/>
        <w:jc w:val="both"/>
      </w:pPr>
    </w:p>
    <w:p w:rsidR="00D51ECE" w:rsidRPr="000A3D8E" w:rsidRDefault="001A0C82" w:rsidP="00A810D0">
      <w:pPr>
        <w:pStyle w:val="BodyTextIndent2"/>
        <w:ind w:left="0"/>
        <w:jc w:val="both"/>
        <w:rPr>
          <w:b/>
        </w:rPr>
      </w:pPr>
      <w:r w:rsidRPr="000A3D8E">
        <w:rPr>
          <w:b/>
        </w:rPr>
        <w:t>B.</w:t>
      </w:r>
      <w:r w:rsidRPr="001A0C82">
        <w:tab/>
      </w:r>
      <w:r w:rsidRPr="000A3D8E">
        <w:rPr>
          <w:b/>
        </w:rPr>
        <w:t>CARD AND DICE INSPECTION AND CONTROL</w:t>
      </w:r>
    </w:p>
    <w:p w:rsidR="001A0C82" w:rsidRDefault="001A0C82" w:rsidP="00A810D0">
      <w:pPr>
        <w:pStyle w:val="BodyTextIndent2"/>
        <w:ind w:left="0"/>
        <w:jc w:val="both"/>
      </w:pPr>
    </w:p>
    <w:p w:rsidR="00DC6554" w:rsidRDefault="00DC6554" w:rsidP="00A810D0">
      <w:pPr>
        <w:jc w:val="both"/>
      </w:pPr>
      <w:r>
        <w:t xml:space="preserve">The licensee shall inspect all cards and dice prior to use in a game.  The front and back of each card must be checked to ensure that it is not flawed, scratched or marked in any way.  Each die must be inspected with a micrometer, balancing caliper, a steel set square and a magnet, or any other instrument approved by the Division.  These tools must be maintained in the pit area and made available for use by the Division upon request. </w:t>
      </w:r>
    </w:p>
    <w:p w:rsidR="00DC6554" w:rsidRDefault="00DC6554" w:rsidP="00A810D0">
      <w:pPr>
        <w:jc w:val="both"/>
      </w:pPr>
    </w:p>
    <w:p w:rsidR="00DC6554" w:rsidRDefault="00DC6554" w:rsidP="00A810D0">
      <w:pPr>
        <w:jc w:val="both"/>
      </w:pPr>
      <w:r>
        <w:t xml:space="preserve">When a card or die is found marked, bent, flawed, and unusable or tampered with in any way during the course of play, a new card or set of dice will be issued to the game.  Any card or die found to be flawed, damaged or tampered with, either prior to play or during the course of play, shall be placed in a sealed envelope or container, labeled with the table name, date, time and signature or initial of the dealer/box person and pit supervisor.  Where a licensee has no reason to believe that damaged or flawed cards or dice in a sealed envelope or container were damaged or flawed as a result of an unlawful act, motive, or scheme, the licensee may dispose of such cards and dice after 30 days in any manner designed to prevent their future use in limited gaming.     </w:t>
      </w:r>
    </w:p>
    <w:p w:rsidR="00DC6554" w:rsidRDefault="00DC6554" w:rsidP="00A810D0">
      <w:pPr>
        <w:pStyle w:val="BodyTextIndent2"/>
        <w:ind w:left="0"/>
        <w:jc w:val="both"/>
      </w:pPr>
    </w:p>
    <w:p w:rsidR="00DC6554" w:rsidRDefault="00DC6554" w:rsidP="00A810D0">
      <w:pPr>
        <w:jc w:val="both"/>
        <w:rPr>
          <w:color w:val="000000"/>
        </w:rPr>
      </w:pPr>
      <w:r>
        <w:t>Cards and dice must be protected at all times.  When a table has not had any play for 30 minutes, the cards must be spread or placed in the discard rack except for tables that utilize a shoe or shuffling device.  D</w:t>
      </w:r>
      <w:r>
        <w:rPr>
          <w:color w:val="000000"/>
        </w:rPr>
        <w:t xml:space="preserve">ice that have been placed in a cup for use in gaming shall </w:t>
      </w:r>
      <w:r>
        <w:t>n</w:t>
      </w:r>
      <w:r>
        <w:rPr>
          <w:color w:val="000000"/>
        </w:rPr>
        <w:t xml:space="preserve">ever be left unattended and shall </w:t>
      </w:r>
      <w:r>
        <w:t>n</w:t>
      </w:r>
      <w:r>
        <w:rPr>
          <w:color w:val="000000"/>
        </w:rPr>
        <w:t>ever remain on a table for more than 24 hours.</w:t>
      </w:r>
    </w:p>
    <w:p w:rsidR="00DC6554" w:rsidRDefault="00DC6554" w:rsidP="00A810D0">
      <w:pPr>
        <w:pStyle w:val="BodyTextIndent2"/>
        <w:ind w:left="0"/>
        <w:jc w:val="both"/>
      </w:pPr>
    </w:p>
    <w:p w:rsidR="000A3D8E" w:rsidRPr="00987FF7" w:rsidRDefault="000A3D8E" w:rsidP="000A3D8E">
      <w:pPr>
        <w:numPr>
          <w:ilvl w:val="0"/>
          <w:numId w:val="9"/>
        </w:numPr>
        <w:ind w:hanging="720"/>
        <w:jc w:val="both"/>
        <w:rPr>
          <w:color w:val="000000"/>
        </w:rPr>
      </w:pPr>
      <w:r w:rsidRPr="001A0C82">
        <w:rPr>
          <w:b/>
        </w:rPr>
        <w:t>CARD AND DICE CANCELLATION/DESTRUCTION</w:t>
      </w:r>
    </w:p>
    <w:p w:rsidR="000A3D8E" w:rsidRDefault="000A3D8E" w:rsidP="00A810D0">
      <w:pPr>
        <w:jc w:val="both"/>
      </w:pPr>
    </w:p>
    <w:p w:rsidR="00DC6554" w:rsidRDefault="001A0C82" w:rsidP="00A810D0">
      <w:pPr>
        <w:jc w:val="both"/>
      </w:pPr>
      <w:r w:rsidRPr="000A3D8E">
        <w:t>Cancellation and/or destruction of cards removed from</w:t>
      </w:r>
      <w:r w:rsidR="00494EAB" w:rsidRPr="000A3D8E">
        <w:t xml:space="preserve"> </w:t>
      </w:r>
      <w:r w:rsidRPr="000A3D8E">
        <w:t xml:space="preserve">play must be by shredding, drilling a circular hole of at least one fourth inch (1/4”) in diameter, corner </w:t>
      </w:r>
      <w:r w:rsidR="002D0508" w:rsidRPr="000A3D8E">
        <w:t>cut</w:t>
      </w:r>
      <w:r w:rsidRPr="000A3D8E">
        <w:t xml:space="preserve"> or other means approved by the Division.</w:t>
      </w:r>
    </w:p>
    <w:p w:rsidR="00DC6554" w:rsidRDefault="00DC6554" w:rsidP="00A810D0">
      <w:pPr>
        <w:jc w:val="both"/>
      </w:pPr>
    </w:p>
    <w:p w:rsidR="000A3D8E" w:rsidRPr="004054A6" w:rsidRDefault="00DC6554" w:rsidP="00A810D0">
      <w:pPr>
        <w:jc w:val="both"/>
      </w:pPr>
      <w:r>
        <w:t>The licensee may destroy dice by drilling a circular hole of at least three-sixteenths of one inch (3/16”) in diameter through the center.  All dice removed from a game, except those retained for Division inspection must be immediately cancelled to prevent reintroduction of the dice to the game.  Cancellation must occur by use of a cancellation tool, scribe or any other tool to produce a cancellation mark that is permanent and clearly visible on each die.  Licensees have the option</w:t>
      </w:r>
      <w:r w:rsidR="004054A6">
        <w:t xml:space="preserve"> to destroy the cancelled dice.</w:t>
      </w:r>
    </w:p>
    <w:p w:rsidR="000A3D8E" w:rsidRDefault="000A3D8E" w:rsidP="00A810D0">
      <w:pPr>
        <w:jc w:val="both"/>
        <w:rPr>
          <w:b/>
        </w:rPr>
      </w:pPr>
    </w:p>
    <w:p w:rsidR="001A0C82" w:rsidRPr="000A3D8E" w:rsidRDefault="00D377DE" w:rsidP="00A810D0">
      <w:pPr>
        <w:jc w:val="both"/>
        <w:rPr>
          <w:b/>
        </w:rPr>
      </w:pPr>
      <w:r w:rsidRPr="000A3D8E">
        <w:rPr>
          <w:b/>
        </w:rPr>
        <w:t>D</w:t>
      </w:r>
      <w:r w:rsidR="001A0C82" w:rsidRPr="000A3D8E">
        <w:rPr>
          <w:b/>
        </w:rPr>
        <w:t xml:space="preserve">. </w:t>
      </w:r>
      <w:r w:rsidR="001A0C82" w:rsidRPr="000A3D8E">
        <w:rPr>
          <w:b/>
        </w:rPr>
        <w:tab/>
        <w:t>MARKING UP ROULETTE CHIP VALUES; CHIP INVENTORY</w:t>
      </w:r>
    </w:p>
    <w:p w:rsidR="001A0C82" w:rsidRPr="00D377DE" w:rsidRDefault="001A0C82" w:rsidP="00A810D0">
      <w:pPr>
        <w:jc w:val="both"/>
        <w:rPr>
          <w:color w:val="FF0000"/>
          <w:u w:val="single"/>
        </w:rPr>
      </w:pPr>
    </w:p>
    <w:p w:rsidR="001A0C82" w:rsidRPr="000A3D8E" w:rsidRDefault="001A0C82" w:rsidP="00A810D0">
      <w:pPr>
        <w:jc w:val="both"/>
      </w:pPr>
      <w:r w:rsidRPr="000A3D8E">
        <w:t>Licensees must have a procedure in place to adequately identify the worth of non-value chips being used in roulette.</w:t>
      </w:r>
    </w:p>
    <w:p w:rsidR="001A0C82" w:rsidRPr="000A3D8E" w:rsidRDefault="001A0C82" w:rsidP="00A810D0">
      <w:pPr>
        <w:jc w:val="both"/>
      </w:pPr>
    </w:p>
    <w:p w:rsidR="001A0C82" w:rsidRDefault="001A0C82" w:rsidP="00A810D0">
      <w:pPr>
        <w:jc w:val="both"/>
      </w:pPr>
      <w:r w:rsidRPr="000A3D8E">
        <w:t>Licensee must possess at least six unique colored sets of non-value chips for each roulette table offered for play.</w:t>
      </w:r>
    </w:p>
    <w:p w:rsidR="007A6096" w:rsidRDefault="007A6096" w:rsidP="00304ECD">
      <w:pPr>
        <w:jc w:val="both"/>
      </w:pPr>
    </w:p>
    <w:p w:rsidR="00304ECD" w:rsidRDefault="00304ECD" w:rsidP="00304ECD">
      <w:pPr>
        <w:jc w:val="both"/>
      </w:pPr>
      <w:r w:rsidRPr="00B65188">
        <w:t>Licensees must have procedures in place for the reporting of missing non-value chips. The procedures must include:</w:t>
      </w:r>
    </w:p>
    <w:p w:rsidR="007A6096" w:rsidRPr="00B65188" w:rsidRDefault="007A6096" w:rsidP="00304ECD">
      <w:pPr>
        <w:jc w:val="both"/>
      </w:pPr>
    </w:p>
    <w:p w:rsidR="00304ECD" w:rsidRPr="00B65188" w:rsidRDefault="00304ECD" w:rsidP="00304ECD">
      <w:pPr>
        <w:numPr>
          <w:ilvl w:val="0"/>
          <w:numId w:val="10"/>
        </w:numPr>
        <w:jc w:val="both"/>
      </w:pPr>
      <w:r w:rsidRPr="00B65188">
        <w:t>How the licensee will determine missing non-value chips.</w:t>
      </w:r>
    </w:p>
    <w:p w:rsidR="00304ECD" w:rsidRPr="00B65188" w:rsidRDefault="00304ECD" w:rsidP="00304ECD">
      <w:pPr>
        <w:numPr>
          <w:ilvl w:val="0"/>
          <w:numId w:val="10"/>
        </w:numPr>
        <w:jc w:val="both"/>
      </w:pPr>
      <w:r w:rsidRPr="00B65188">
        <w:t>How the licensee will report to the division when ten or more non-value chips of one color missing from the table in a gaming day.</w:t>
      </w:r>
    </w:p>
    <w:p w:rsidR="00304ECD" w:rsidRDefault="00304ECD" w:rsidP="00304ECD">
      <w:pPr>
        <w:jc w:val="both"/>
      </w:pPr>
    </w:p>
    <w:p w:rsidR="00304ECD" w:rsidRPr="00AC7AA1" w:rsidRDefault="00304ECD" w:rsidP="00304ECD">
      <w:pPr>
        <w:jc w:val="both"/>
        <w:rPr>
          <w:spacing w:val="-2"/>
        </w:rPr>
      </w:pPr>
      <w:r w:rsidRPr="00B65188">
        <w:rPr>
          <w:spacing w:val="-2"/>
        </w:rPr>
        <w:t>Unused and excess non-value chips shall be stored in a secure location, which is a dual locked area, or secured in such a way that access to the non-value chips would be evident.  The storage location must be under surveillance.  Since these stored non-value chips are not used in the normal course of business, they are not required to be inventoried on a daily basis.  Instead, they are inventoried each time they are accessed.  A separate documented inventory is completed by the two licensed individuals accessing these non-value chips.  If these chips are secured at all times and not accessed the last known inventory count can be used for the quarterly non-value chip reconciliation.  Additionally, a log shall be maintained with the non-value chips and the log must be completed each time they are accessed.  The date, individuals accessing the chips and the reason for accessing the chips are recorded on the log.</w:t>
      </w:r>
    </w:p>
    <w:p w:rsidR="00304ECD" w:rsidRDefault="00304ECD" w:rsidP="00A810D0">
      <w:pPr>
        <w:jc w:val="both"/>
      </w:pPr>
    </w:p>
    <w:p w:rsidR="001A0C82" w:rsidRPr="000A3D8E" w:rsidRDefault="00D377DE" w:rsidP="00A810D0">
      <w:pPr>
        <w:jc w:val="both"/>
        <w:rPr>
          <w:b/>
        </w:rPr>
      </w:pPr>
      <w:r w:rsidRPr="000A3D8E">
        <w:rPr>
          <w:b/>
        </w:rPr>
        <w:t>E</w:t>
      </w:r>
      <w:r w:rsidR="001A0C82" w:rsidRPr="000A3D8E">
        <w:rPr>
          <w:b/>
        </w:rPr>
        <w:t>.</w:t>
      </w:r>
      <w:r w:rsidR="001A0C82" w:rsidRPr="000A3D8E">
        <w:rPr>
          <w:b/>
        </w:rPr>
        <w:tab/>
        <w:t>INSPECTION AND SECURITY PROCEDURES FOR ROULETTE EQUIPMENT</w:t>
      </w:r>
    </w:p>
    <w:p w:rsidR="001A0C82" w:rsidRPr="000A3D8E" w:rsidRDefault="001A0C82" w:rsidP="00A810D0">
      <w:pPr>
        <w:jc w:val="both"/>
      </w:pPr>
    </w:p>
    <w:p w:rsidR="001A0C82" w:rsidRPr="000A3D8E" w:rsidRDefault="001A0C82" w:rsidP="00A810D0">
      <w:pPr>
        <w:jc w:val="both"/>
      </w:pPr>
      <w:r w:rsidRPr="000A3D8E">
        <w:t>A gaming manage</w:t>
      </w:r>
      <w:r w:rsidR="00494EAB" w:rsidRPr="000A3D8E">
        <w:t>r, pit</w:t>
      </w:r>
      <w:r w:rsidRPr="000A3D8E">
        <w:t xml:space="preserve"> supervisor or a licensed member of security must perform the inspection and security procedures outlined in GLGR </w:t>
      </w:r>
      <w:r w:rsidR="00BA4197" w:rsidRPr="000A3D8E">
        <w:t>30</w:t>
      </w:r>
      <w:r w:rsidRPr="000A3D8E">
        <w:t xml:space="preserve">-2212 </w:t>
      </w:r>
      <w:r w:rsidR="007A6096">
        <w:t>prior to opening a roulette table for gaming activity, or at least once a gaming day for an open table</w:t>
      </w:r>
      <w:r w:rsidRPr="000A3D8E">
        <w:t xml:space="preserve"> or more frequently if necessary.</w:t>
      </w:r>
    </w:p>
    <w:p w:rsidR="00D377DE" w:rsidRPr="000A3D8E" w:rsidRDefault="00D377DE" w:rsidP="00A810D0">
      <w:pPr>
        <w:jc w:val="both"/>
      </w:pPr>
    </w:p>
    <w:p w:rsidR="00D377DE" w:rsidRPr="000A3D8E" w:rsidRDefault="002D0508" w:rsidP="00A810D0">
      <w:pPr>
        <w:jc w:val="both"/>
      </w:pPr>
      <w:r w:rsidRPr="000A3D8E">
        <w:t>Any adjustment or rep</w:t>
      </w:r>
      <w:r w:rsidR="00D377DE" w:rsidRPr="000A3D8E">
        <w:t>lacements to the</w:t>
      </w:r>
      <w:r w:rsidR="00D052A7" w:rsidRPr="000A3D8E">
        <w:t xml:space="preserve"> whee</w:t>
      </w:r>
      <w:r w:rsidR="00D377DE" w:rsidRPr="000A3D8E">
        <w:t xml:space="preserve">l must be documented in a log that is kept in the </w:t>
      </w:r>
      <w:r w:rsidR="00494EAB" w:rsidRPr="000A3D8E">
        <w:t xml:space="preserve">pit area and made available to the </w:t>
      </w:r>
      <w:r w:rsidR="00D377DE" w:rsidRPr="000A3D8E">
        <w:t>Division</w:t>
      </w:r>
      <w:r w:rsidR="00494EAB" w:rsidRPr="000A3D8E">
        <w:t xml:space="preserve"> for</w:t>
      </w:r>
      <w:r w:rsidR="00D377DE" w:rsidRPr="000A3D8E">
        <w:t xml:space="preserve"> inspection upon request.</w:t>
      </w:r>
    </w:p>
    <w:p w:rsidR="00EE2DA2" w:rsidRPr="000A3D8E" w:rsidRDefault="00EE2DA2" w:rsidP="00A810D0">
      <w:pPr>
        <w:jc w:val="both"/>
      </w:pPr>
    </w:p>
    <w:p w:rsidR="00EE2DA2" w:rsidRPr="000A3D8E" w:rsidRDefault="00EE2DA2" w:rsidP="00A810D0">
      <w:pPr>
        <w:jc w:val="both"/>
      </w:pPr>
      <w:r w:rsidRPr="000A3D8E">
        <w:t xml:space="preserve">All roulette chips </w:t>
      </w:r>
      <w:r w:rsidR="00266F8B">
        <w:t xml:space="preserve">and balls </w:t>
      </w:r>
      <w:r w:rsidRPr="000A3D8E">
        <w:t>must be secured when the table is not in use.</w:t>
      </w:r>
    </w:p>
    <w:p w:rsidR="00DC6554" w:rsidRDefault="00DC6554" w:rsidP="00A810D0">
      <w:pPr>
        <w:pStyle w:val="BodyTextIndent2"/>
        <w:ind w:left="0"/>
        <w:jc w:val="both"/>
        <w:rPr>
          <w:color w:val="000000"/>
        </w:rPr>
      </w:pPr>
    </w:p>
    <w:p w:rsidR="00D377DE" w:rsidRDefault="00D377DE" w:rsidP="00D377DE">
      <w:pPr>
        <w:jc w:val="both"/>
      </w:pPr>
      <w:r w:rsidRPr="000A3D8E">
        <w:rPr>
          <w:b/>
        </w:rPr>
        <w:t>F.</w:t>
      </w:r>
      <w:r>
        <w:tab/>
      </w:r>
      <w:r w:rsidRPr="004054A6">
        <w:rPr>
          <w:b/>
        </w:rPr>
        <w:t>COMMUNICATION EQUIPMENT</w:t>
      </w:r>
    </w:p>
    <w:p w:rsidR="00D377DE" w:rsidRDefault="00D377DE" w:rsidP="00D377DE">
      <w:pPr>
        <w:jc w:val="both"/>
      </w:pPr>
    </w:p>
    <w:p w:rsidR="00A810D0" w:rsidRDefault="00D377DE" w:rsidP="00304ECD">
      <w:pPr>
        <w:jc w:val="both"/>
      </w:pPr>
      <w:r>
        <w:t xml:space="preserve">Licensees using mobile ATM </w:t>
      </w:r>
      <w:r w:rsidR="00304ECD">
        <w:t xml:space="preserve">and/or EBT </w:t>
      </w:r>
      <w:r>
        <w:t>devices at gaming tables must develop controls over the hardware to ensure data</w:t>
      </w:r>
      <w:r w:rsidR="00304ECD">
        <w:t xml:space="preserve"> at rest and data in transit</w:t>
      </w:r>
      <w:r>
        <w:t xml:space="preserve"> is secure.  </w:t>
      </w:r>
    </w:p>
    <w:sectPr w:rsidR="00A810D0" w:rsidSect="004146F3">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12" w:rsidRDefault="00E60812" w:rsidP="00DC6554">
      <w:r>
        <w:separator/>
      </w:r>
    </w:p>
  </w:endnote>
  <w:endnote w:type="continuationSeparator" w:id="0">
    <w:p w:rsidR="00E60812" w:rsidRDefault="00E60812" w:rsidP="00DC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0B" w:rsidRDefault="00290D0B">
    <w:pPr>
      <w:pStyle w:val="Footer"/>
    </w:pPr>
    <w:r w:rsidRPr="004146F3">
      <w:t xml:space="preserve">TABLE GAMES EQUIPMENT – Page </w:t>
    </w:r>
    <w:r w:rsidRPr="004146F3">
      <w:rPr>
        <w:rStyle w:val="PageNumber"/>
      </w:rPr>
      <w:fldChar w:fldCharType="begin"/>
    </w:r>
    <w:r w:rsidRPr="004146F3">
      <w:rPr>
        <w:rStyle w:val="PageNumber"/>
      </w:rPr>
      <w:instrText xml:space="preserve"> PAGE </w:instrText>
    </w:r>
    <w:r w:rsidRPr="004146F3">
      <w:rPr>
        <w:rStyle w:val="PageNumber"/>
      </w:rPr>
      <w:fldChar w:fldCharType="separate"/>
    </w:r>
    <w:r w:rsidR="008031E4">
      <w:rPr>
        <w:rStyle w:val="PageNumber"/>
        <w:noProof/>
      </w:rPr>
      <w:t>2</w:t>
    </w:r>
    <w:r w:rsidRPr="004146F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0B" w:rsidRDefault="00290D0B" w:rsidP="00DC6554">
    <w:pPr>
      <w:pStyle w:val="Footer"/>
      <w:ind w:right="360" w:firstLine="360"/>
      <w:jc w:val="right"/>
      <w:rPr>
        <w:sz w:val="20"/>
        <w:szCs w:val="20"/>
      </w:rPr>
    </w:pPr>
  </w:p>
  <w:p w:rsidR="00290D0B" w:rsidRPr="004146F3" w:rsidRDefault="00290D0B" w:rsidP="004146F3">
    <w:pPr>
      <w:pStyle w:val="Footer"/>
      <w:ind w:right="360"/>
    </w:pPr>
    <w:r>
      <w:tab/>
    </w:r>
    <w:r>
      <w:tab/>
    </w:r>
    <w:r w:rsidRPr="004146F3">
      <w:t xml:space="preserve">TABLE GAMES EQUIPMENT – Page </w:t>
    </w:r>
    <w:r w:rsidRPr="004146F3">
      <w:rPr>
        <w:rStyle w:val="PageNumber"/>
      </w:rPr>
      <w:fldChar w:fldCharType="begin"/>
    </w:r>
    <w:r w:rsidRPr="004146F3">
      <w:rPr>
        <w:rStyle w:val="PageNumber"/>
      </w:rPr>
      <w:instrText xml:space="preserve"> PAGE </w:instrText>
    </w:r>
    <w:r w:rsidRPr="004146F3">
      <w:rPr>
        <w:rStyle w:val="PageNumber"/>
      </w:rPr>
      <w:fldChar w:fldCharType="separate"/>
    </w:r>
    <w:r w:rsidR="008031E4">
      <w:rPr>
        <w:rStyle w:val="PageNumber"/>
        <w:noProof/>
      </w:rPr>
      <w:t>3</w:t>
    </w:r>
    <w:r w:rsidRPr="004146F3">
      <w:rPr>
        <w:rStyle w:val="PageNumber"/>
      </w:rPr>
      <w:fldChar w:fldCharType="end"/>
    </w:r>
  </w:p>
  <w:p w:rsidR="00290D0B" w:rsidRPr="004146F3" w:rsidRDefault="00290D0B">
    <w:pPr>
      <w:pStyle w:val="Footer"/>
    </w:pPr>
  </w:p>
  <w:p w:rsidR="00290D0B" w:rsidRDefault="00290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12" w:rsidRDefault="00E60812" w:rsidP="00DC6554">
      <w:r>
        <w:separator/>
      </w:r>
    </w:p>
  </w:footnote>
  <w:footnote w:type="continuationSeparator" w:id="0">
    <w:p w:rsidR="00E60812" w:rsidRDefault="00E60812" w:rsidP="00DC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0B" w:rsidRPr="004146F3" w:rsidRDefault="00290D0B" w:rsidP="004054A6">
    <w:pPr>
      <w:pStyle w:val="Header"/>
      <w:tabs>
        <w:tab w:val="clear" w:pos="8640"/>
        <w:tab w:val="right" w:pos="9360"/>
      </w:tabs>
      <w:rPr>
        <w:b/>
        <w:i/>
        <w:sz w:val="16"/>
        <w:szCs w:val="16"/>
      </w:rPr>
    </w:pPr>
    <w:r>
      <w:rPr>
        <w:b/>
        <w:i/>
        <w:sz w:val="16"/>
        <w:szCs w:val="16"/>
      </w:rPr>
      <w:tab/>
    </w:r>
    <w:r>
      <w:rPr>
        <w:b/>
        <w:i/>
        <w:sz w:val="16"/>
        <w:szCs w:val="16"/>
      </w:rPr>
      <w:tab/>
      <w:t>Effective October 15, 2020</w:t>
    </w:r>
  </w:p>
  <w:p w:rsidR="00290D0B" w:rsidRPr="00DC6554" w:rsidRDefault="00290D0B" w:rsidP="00A12082">
    <w:pPr>
      <w:pStyle w:val="Heading1"/>
      <w:rPr>
        <w:sz w:val="28"/>
        <w:szCs w:val="28"/>
      </w:rPr>
    </w:pPr>
    <w:r w:rsidRPr="00DC6554">
      <w:rPr>
        <w:sz w:val="28"/>
        <w:szCs w:val="28"/>
      </w:rPr>
      <w:t>Colorado Limited Gaming Control Commission</w:t>
    </w:r>
  </w:p>
  <w:p w:rsidR="00290D0B" w:rsidRPr="00DC6554" w:rsidRDefault="00013E30" w:rsidP="00A12082">
    <w:pPr>
      <w:pStyle w:val="Heading1"/>
      <w:rPr>
        <w:i/>
        <w:sz w:val="28"/>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-62865</wp:posOffset>
              </wp:positionH>
              <wp:positionV relativeFrom="paragraph">
                <wp:posOffset>252729</wp:posOffset>
              </wp:positionV>
              <wp:extent cx="605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1EE3" id="Line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9.9pt" to="472.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0R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"/>
          </w:pict>
        </mc:Fallback>
      </mc:AlternateContent>
    </w:r>
    <w:r w:rsidR="00290D0B" w:rsidRPr="00DC6554">
      <w:rPr>
        <w:i/>
        <w:sz w:val="28"/>
        <w:szCs w:val="28"/>
      </w:rPr>
      <w:t>Internal Control Minimum Procedures (ICMP)</w:t>
    </w:r>
  </w:p>
  <w:p w:rsidR="00290D0B" w:rsidRDefault="00290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0B" w:rsidRPr="004146F3" w:rsidRDefault="00290D0B" w:rsidP="004054A6">
    <w:pPr>
      <w:pStyle w:val="Header"/>
      <w:tabs>
        <w:tab w:val="clear" w:pos="8640"/>
        <w:tab w:val="right" w:pos="9360"/>
      </w:tabs>
      <w:rPr>
        <w:b/>
        <w:i/>
        <w:sz w:val="16"/>
        <w:szCs w:val="16"/>
      </w:rPr>
    </w:pPr>
    <w:r>
      <w:rPr>
        <w:b/>
        <w:i/>
        <w:sz w:val="16"/>
        <w:szCs w:val="16"/>
      </w:rPr>
      <w:tab/>
    </w:r>
    <w:r>
      <w:rPr>
        <w:b/>
        <w:i/>
        <w:sz w:val="16"/>
        <w:szCs w:val="16"/>
      </w:rPr>
      <w:tab/>
      <w:t>Effective October 15, 2020</w:t>
    </w:r>
  </w:p>
  <w:p w:rsidR="00290D0B" w:rsidRPr="00DC6554" w:rsidRDefault="00290D0B" w:rsidP="00DC6554">
    <w:pPr>
      <w:pStyle w:val="Heading1"/>
      <w:rPr>
        <w:sz w:val="28"/>
        <w:szCs w:val="28"/>
      </w:rPr>
    </w:pPr>
    <w:r w:rsidRPr="00DC6554">
      <w:rPr>
        <w:sz w:val="28"/>
        <w:szCs w:val="28"/>
      </w:rPr>
      <w:t>Colorado Limited Gaming Control Commission</w:t>
    </w:r>
  </w:p>
  <w:p w:rsidR="00290D0B" w:rsidRPr="00DC6554" w:rsidRDefault="00013E30" w:rsidP="00DC6554">
    <w:pPr>
      <w:pStyle w:val="Heading1"/>
      <w:rPr>
        <w:i/>
        <w:sz w:val="28"/>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-62865</wp:posOffset>
              </wp:positionH>
              <wp:positionV relativeFrom="paragraph">
                <wp:posOffset>252729</wp:posOffset>
              </wp:positionV>
              <wp:extent cx="6057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B858"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9.9pt" to="472.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nr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"/>
          </w:pict>
        </mc:Fallback>
      </mc:AlternateContent>
    </w:r>
    <w:r w:rsidR="00290D0B" w:rsidRPr="00DC6554">
      <w:rPr>
        <w:i/>
        <w:sz w:val="28"/>
        <w:szCs w:val="28"/>
      </w:rPr>
      <w:t>Internal Control Minimum Procedures (ICMP)</w:t>
    </w:r>
  </w:p>
  <w:p w:rsidR="00290D0B" w:rsidRDefault="00290D0B" w:rsidP="00DC6554">
    <w:pPr>
      <w:pStyle w:val="Header"/>
    </w:pPr>
  </w:p>
  <w:p w:rsidR="00290D0B" w:rsidRDefault="00290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AD3"/>
    <w:multiLevelType w:val="hybridMultilevel"/>
    <w:tmpl w:val="A516C3C2"/>
    <w:lvl w:ilvl="0" w:tplc="B7B4015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13363"/>
    <w:multiLevelType w:val="hybridMultilevel"/>
    <w:tmpl w:val="37F2B55C"/>
    <w:lvl w:ilvl="0" w:tplc="B7B4015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02CDC"/>
    <w:multiLevelType w:val="hybridMultilevel"/>
    <w:tmpl w:val="3E5474BA"/>
    <w:lvl w:ilvl="0" w:tplc="96BC515A">
      <w:start w:val="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120424"/>
    <w:multiLevelType w:val="hybridMultilevel"/>
    <w:tmpl w:val="A358ED3E"/>
    <w:lvl w:ilvl="0" w:tplc="2BA24EE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43843"/>
    <w:multiLevelType w:val="singleLevel"/>
    <w:tmpl w:val="5822A096"/>
    <w:lvl w:ilvl="0">
      <w:start w:val="17"/>
      <w:numFmt w:val="upperLetter"/>
      <w:pStyle w:val="Heading9"/>
      <w:lvlText w:val="%1."/>
      <w:lvlJc w:val="left"/>
      <w:pPr>
        <w:tabs>
          <w:tab w:val="num" w:pos="675"/>
        </w:tabs>
        <w:ind w:left="675" w:hanging="360"/>
      </w:pPr>
      <w:rPr>
        <w:rFonts w:hint="default"/>
      </w:rPr>
    </w:lvl>
  </w:abstractNum>
  <w:abstractNum w:abstractNumId="5" w15:restartNumberingAfterBreak="0">
    <w:nsid w:val="5DF007F3"/>
    <w:multiLevelType w:val="hybridMultilevel"/>
    <w:tmpl w:val="4E48A84C"/>
    <w:lvl w:ilvl="0" w:tplc="9B94127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15AA7"/>
    <w:multiLevelType w:val="singleLevel"/>
    <w:tmpl w:val="CD6C4DB4"/>
    <w:lvl w:ilvl="0">
      <w:start w:val="9"/>
      <w:numFmt w:val="upperLetter"/>
      <w:pStyle w:val="Heading8"/>
      <w:lvlText w:val="%1."/>
      <w:lvlJc w:val="left"/>
      <w:pPr>
        <w:tabs>
          <w:tab w:val="num" w:pos="720"/>
        </w:tabs>
        <w:ind w:left="720" w:hanging="720"/>
      </w:pPr>
    </w:lvl>
  </w:abstractNum>
  <w:abstractNum w:abstractNumId="7" w15:restartNumberingAfterBreak="0">
    <w:nsid w:val="72CA6E45"/>
    <w:multiLevelType w:val="hybridMultilevel"/>
    <w:tmpl w:val="16BA2692"/>
    <w:lvl w:ilvl="0" w:tplc="B7B4015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21362"/>
    <w:multiLevelType w:val="hybridMultilevel"/>
    <w:tmpl w:val="084211C0"/>
    <w:lvl w:ilvl="0" w:tplc="F192325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F0811"/>
    <w:multiLevelType w:val="hybridMultilevel"/>
    <w:tmpl w:val="4C0CFE2C"/>
    <w:lvl w:ilvl="0" w:tplc="9AA2DBB0">
      <w:start w:val="1"/>
      <w:numFmt w:val="upperLetter"/>
      <w:lvlText w:val="%1."/>
      <w:lvlJc w:val="left"/>
      <w:pPr>
        <w:tabs>
          <w:tab w:val="num" w:pos="720"/>
        </w:tabs>
        <w:ind w:left="720" w:hanging="360"/>
      </w:pPr>
      <w:rPr>
        <w:rFonts w:hint="default"/>
        <w:b/>
        <w:i w:val="0"/>
        <w:strik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2"/>
  </w:num>
  <w:num w:numId="5">
    <w:abstractNumId w:val="0"/>
  </w:num>
  <w:num w:numId="6">
    <w:abstractNumId w:val="7"/>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54"/>
    <w:rsid w:val="00013E30"/>
    <w:rsid w:val="000A3D8E"/>
    <w:rsid w:val="001A0C82"/>
    <w:rsid w:val="001A2BD0"/>
    <w:rsid w:val="002040CC"/>
    <w:rsid w:val="00266F8B"/>
    <w:rsid w:val="00290D0B"/>
    <w:rsid w:val="002D0508"/>
    <w:rsid w:val="002F72DC"/>
    <w:rsid w:val="00304ECD"/>
    <w:rsid w:val="00320114"/>
    <w:rsid w:val="003B7F46"/>
    <w:rsid w:val="003C6016"/>
    <w:rsid w:val="004054A6"/>
    <w:rsid w:val="0041302B"/>
    <w:rsid w:val="004146F3"/>
    <w:rsid w:val="00452630"/>
    <w:rsid w:val="004779A7"/>
    <w:rsid w:val="00494EAB"/>
    <w:rsid w:val="004C561D"/>
    <w:rsid w:val="00520A5B"/>
    <w:rsid w:val="0056398F"/>
    <w:rsid w:val="0059054C"/>
    <w:rsid w:val="005B723D"/>
    <w:rsid w:val="005C7E99"/>
    <w:rsid w:val="005E62F6"/>
    <w:rsid w:val="005F5FF4"/>
    <w:rsid w:val="00607437"/>
    <w:rsid w:val="006B7445"/>
    <w:rsid w:val="00734D1E"/>
    <w:rsid w:val="007A6096"/>
    <w:rsid w:val="008031E4"/>
    <w:rsid w:val="008527F7"/>
    <w:rsid w:val="008E6599"/>
    <w:rsid w:val="009C4FC7"/>
    <w:rsid w:val="00A12082"/>
    <w:rsid w:val="00A15DC8"/>
    <w:rsid w:val="00A810D0"/>
    <w:rsid w:val="00AB33F3"/>
    <w:rsid w:val="00AC2294"/>
    <w:rsid w:val="00AD356A"/>
    <w:rsid w:val="00BA4197"/>
    <w:rsid w:val="00BB480C"/>
    <w:rsid w:val="00BE7233"/>
    <w:rsid w:val="00D052A7"/>
    <w:rsid w:val="00D377DE"/>
    <w:rsid w:val="00D51ECE"/>
    <w:rsid w:val="00D73D48"/>
    <w:rsid w:val="00DC6554"/>
    <w:rsid w:val="00DE271C"/>
    <w:rsid w:val="00E36C12"/>
    <w:rsid w:val="00E60812"/>
    <w:rsid w:val="00EE2DA2"/>
    <w:rsid w:val="00EE33BD"/>
    <w:rsid w:val="00F15386"/>
    <w:rsid w:val="00F5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A632439-E75D-404E-90F8-EDAE57F9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554"/>
    <w:rPr>
      <w:sz w:val="24"/>
      <w:szCs w:val="24"/>
    </w:rPr>
  </w:style>
  <w:style w:type="paragraph" w:styleId="Heading1">
    <w:name w:val="heading 1"/>
    <w:basedOn w:val="Normal"/>
    <w:next w:val="Normal"/>
    <w:link w:val="Heading1Char"/>
    <w:qFormat/>
    <w:rsid w:val="00F15386"/>
    <w:pPr>
      <w:keepNext/>
      <w:outlineLvl w:val="0"/>
    </w:pPr>
    <w:rPr>
      <w:b/>
      <w:sz w:val="32"/>
      <w:szCs w:val="20"/>
    </w:rPr>
  </w:style>
  <w:style w:type="paragraph" w:styleId="Heading2">
    <w:name w:val="heading 2"/>
    <w:basedOn w:val="Normal"/>
    <w:next w:val="Normal"/>
    <w:link w:val="Heading2Char"/>
    <w:qFormat/>
    <w:rsid w:val="00F15386"/>
    <w:pPr>
      <w:keepNext/>
      <w:outlineLvl w:val="1"/>
    </w:pPr>
    <w:rPr>
      <w:b/>
      <w:sz w:val="28"/>
      <w:szCs w:val="20"/>
    </w:rPr>
  </w:style>
  <w:style w:type="paragraph" w:styleId="Heading3">
    <w:name w:val="heading 3"/>
    <w:basedOn w:val="Normal"/>
    <w:next w:val="Normal"/>
    <w:link w:val="Heading3Char"/>
    <w:qFormat/>
    <w:rsid w:val="00F15386"/>
    <w:pPr>
      <w:keepNext/>
      <w:outlineLvl w:val="2"/>
    </w:pPr>
    <w:rPr>
      <w:b/>
      <w:sz w:val="20"/>
      <w:szCs w:val="20"/>
    </w:rPr>
  </w:style>
  <w:style w:type="paragraph" w:styleId="Heading5">
    <w:name w:val="heading 5"/>
    <w:basedOn w:val="Normal"/>
    <w:next w:val="Normal"/>
    <w:link w:val="Heading5Char"/>
    <w:qFormat/>
    <w:rsid w:val="00F15386"/>
    <w:pPr>
      <w:keepNext/>
      <w:jc w:val="both"/>
      <w:outlineLvl w:val="4"/>
    </w:pPr>
    <w:rPr>
      <w:b/>
      <w:sz w:val="28"/>
    </w:rPr>
  </w:style>
  <w:style w:type="paragraph" w:styleId="Heading7">
    <w:name w:val="heading 7"/>
    <w:basedOn w:val="Normal"/>
    <w:next w:val="Normal"/>
    <w:link w:val="Heading7Char"/>
    <w:qFormat/>
    <w:rsid w:val="00F15386"/>
    <w:pPr>
      <w:keepNext/>
      <w:ind w:left="720"/>
      <w:outlineLvl w:val="6"/>
    </w:pPr>
    <w:rPr>
      <w:b/>
      <w:szCs w:val="20"/>
    </w:rPr>
  </w:style>
  <w:style w:type="paragraph" w:styleId="Heading8">
    <w:name w:val="heading 8"/>
    <w:basedOn w:val="Normal"/>
    <w:next w:val="Normal"/>
    <w:link w:val="Heading8Char"/>
    <w:qFormat/>
    <w:rsid w:val="00F15386"/>
    <w:pPr>
      <w:keepNext/>
      <w:numPr>
        <w:numId w:val="1"/>
      </w:numPr>
      <w:outlineLvl w:val="7"/>
    </w:pPr>
    <w:rPr>
      <w:b/>
      <w:szCs w:val="20"/>
    </w:rPr>
  </w:style>
  <w:style w:type="paragraph" w:styleId="Heading9">
    <w:name w:val="heading 9"/>
    <w:basedOn w:val="Normal"/>
    <w:next w:val="Normal"/>
    <w:link w:val="Heading9Char"/>
    <w:qFormat/>
    <w:rsid w:val="00F15386"/>
    <w:pPr>
      <w:keepNext/>
      <w:numPr>
        <w:numId w:val="2"/>
      </w:numPr>
      <w:outlineLvl w:val="8"/>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5386"/>
    <w:rPr>
      <w:b/>
      <w:sz w:val="32"/>
    </w:rPr>
  </w:style>
  <w:style w:type="character" w:customStyle="1" w:styleId="Heading2Char">
    <w:name w:val="Heading 2 Char"/>
    <w:link w:val="Heading2"/>
    <w:rsid w:val="00F15386"/>
    <w:rPr>
      <w:b/>
      <w:sz w:val="28"/>
    </w:rPr>
  </w:style>
  <w:style w:type="character" w:customStyle="1" w:styleId="Heading3Char">
    <w:name w:val="Heading 3 Char"/>
    <w:link w:val="Heading3"/>
    <w:rsid w:val="00F15386"/>
    <w:rPr>
      <w:b/>
    </w:rPr>
  </w:style>
  <w:style w:type="character" w:customStyle="1" w:styleId="Heading5Char">
    <w:name w:val="Heading 5 Char"/>
    <w:link w:val="Heading5"/>
    <w:rsid w:val="00F15386"/>
    <w:rPr>
      <w:b/>
      <w:sz w:val="28"/>
      <w:szCs w:val="24"/>
    </w:rPr>
  </w:style>
  <w:style w:type="character" w:customStyle="1" w:styleId="Heading7Char">
    <w:name w:val="Heading 7 Char"/>
    <w:link w:val="Heading7"/>
    <w:rsid w:val="00F15386"/>
    <w:rPr>
      <w:b/>
      <w:sz w:val="24"/>
    </w:rPr>
  </w:style>
  <w:style w:type="character" w:customStyle="1" w:styleId="Heading8Char">
    <w:name w:val="Heading 8 Char"/>
    <w:link w:val="Heading8"/>
    <w:rsid w:val="00F15386"/>
    <w:rPr>
      <w:b/>
      <w:sz w:val="24"/>
    </w:rPr>
  </w:style>
  <w:style w:type="character" w:customStyle="1" w:styleId="Heading9Char">
    <w:name w:val="Heading 9 Char"/>
    <w:link w:val="Heading9"/>
    <w:rsid w:val="00F15386"/>
    <w:rPr>
      <w:b/>
      <w:sz w:val="24"/>
    </w:rPr>
  </w:style>
  <w:style w:type="paragraph" w:styleId="Title">
    <w:name w:val="Title"/>
    <w:basedOn w:val="Normal"/>
    <w:link w:val="TitleChar"/>
    <w:qFormat/>
    <w:rsid w:val="00F15386"/>
    <w:pPr>
      <w:jc w:val="center"/>
    </w:pPr>
    <w:rPr>
      <w:szCs w:val="20"/>
    </w:rPr>
  </w:style>
  <w:style w:type="character" w:customStyle="1" w:styleId="TitleChar">
    <w:name w:val="Title Char"/>
    <w:link w:val="Title"/>
    <w:rsid w:val="00F15386"/>
    <w:rPr>
      <w:sz w:val="24"/>
    </w:rPr>
  </w:style>
  <w:style w:type="paragraph" w:styleId="Header">
    <w:name w:val="header"/>
    <w:basedOn w:val="Normal"/>
    <w:link w:val="HeaderChar"/>
    <w:uiPriority w:val="99"/>
    <w:rsid w:val="00DC6554"/>
    <w:pPr>
      <w:tabs>
        <w:tab w:val="center" w:pos="4320"/>
        <w:tab w:val="right" w:pos="8640"/>
      </w:tabs>
    </w:pPr>
    <w:rPr>
      <w:sz w:val="20"/>
      <w:szCs w:val="20"/>
    </w:rPr>
  </w:style>
  <w:style w:type="character" w:customStyle="1" w:styleId="HeaderChar">
    <w:name w:val="Header Char"/>
    <w:basedOn w:val="DefaultParagraphFont"/>
    <w:link w:val="Header"/>
    <w:uiPriority w:val="99"/>
    <w:rsid w:val="00DC6554"/>
  </w:style>
  <w:style w:type="paragraph" w:styleId="Footer">
    <w:name w:val="footer"/>
    <w:basedOn w:val="Normal"/>
    <w:link w:val="FooterChar"/>
    <w:unhideWhenUsed/>
    <w:rsid w:val="00DC6554"/>
    <w:pPr>
      <w:tabs>
        <w:tab w:val="center" w:pos="4680"/>
        <w:tab w:val="right" w:pos="9360"/>
      </w:tabs>
    </w:pPr>
  </w:style>
  <w:style w:type="character" w:customStyle="1" w:styleId="FooterChar">
    <w:name w:val="Footer Char"/>
    <w:link w:val="Footer"/>
    <w:uiPriority w:val="99"/>
    <w:rsid w:val="00DC6554"/>
    <w:rPr>
      <w:sz w:val="24"/>
      <w:szCs w:val="24"/>
    </w:rPr>
  </w:style>
  <w:style w:type="paragraph" w:styleId="BalloonText">
    <w:name w:val="Balloon Text"/>
    <w:basedOn w:val="Normal"/>
    <w:link w:val="BalloonTextChar"/>
    <w:uiPriority w:val="99"/>
    <w:semiHidden/>
    <w:unhideWhenUsed/>
    <w:rsid w:val="00DC6554"/>
    <w:rPr>
      <w:rFonts w:ascii="Tahoma" w:hAnsi="Tahoma" w:cs="Tahoma"/>
      <w:sz w:val="16"/>
      <w:szCs w:val="16"/>
    </w:rPr>
  </w:style>
  <w:style w:type="character" w:customStyle="1" w:styleId="BalloonTextChar">
    <w:name w:val="Balloon Text Char"/>
    <w:link w:val="BalloonText"/>
    <w:uiPriority w:val="99"/>
    <w:semiHidden/>
    <w:rsid w:val="00DC6554"/>
    <w:rPr>
      <w:rFonts w:ascii="Tahoma" w:hAnsi="Tahoma" w:cs="Tahoma"/>
      <w:sz w:val="16"/>
      <w:szCs w:val="16"/>
    </w:rPr>
  </w:style>
  <w:style w:type="character" w:styleId="PageNumber">
    <w:name w:val="page number"/>
    <w:rsid w:val="00DC6554"/>
  </w:style>
  <w:style w:type="paragraph" w:styleId="BodyTextIndent">
    <w:name w:val="Body Text Indent"/>
    <w:basedOn w:val="Normal"/>
    <w:link w:val="BodyTextIndentChar"/>
    <w:rsid w:val="00DC6554"/>
    <w:pPr>
      <w:ind w:left="1440"/>
    </w:pPr>
    <w:rPr>
      <w:szCs w:val="20"/>
    </w:rPr>
  </w:style>
  <w:style w:type="character" w:customStyle="1" w:styleId="BodyTextIndentChar">
    <w:name w:val="Body Text Indent Char"/>
    <w:link w:val="BodyTextIndent"/>
    <w:rsid w:val="00DC6554"/>
    <w:rPr>
      <w:sz w:val="24"/>
    </w:rPr>
  </w:style>
  <w:style w:type="paragraph" w:styleId="BodyTextIndent2">
    <w:name w:val="Body Text Indent 2"/>
    <w:basedOn w:val="Normal"/>
    <w:link w:val="BodyTextIndent2Char"/>
    <w:rsid w:val="00DC6554"/>
    <w:pPr>
      <w:ind w:left="2160"/>
    </w:pPr>
    <w:rPr>
      <w:szCs w:val="20"/>
    </w:rPr>
  </w:style>
  <w:style w:type="character" w:customStyle="1" w:styleId="BodyTextIndent2Char">
    <w:name w:val="Body Text Indent 2 Char"/>
    <w:link w:val="BodyTextIndent2"/>
    <w:rsid w:val="00DC65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Paul</dc:creator>
  <cp:keywords/>
  <cp:lastModifiedBy>Nolan, Breanne</cp:lastModifiedBy>
  <cp:revision>2</cp:revision>
  <dcterms:created xsi:type="dcterms:W3CDTF">2021-03-01T18:34:00Z</dcterms:created>
  <dcterms:modified xsi:type="dcterms:W3CDTF">2021-03-01T18:34:00Z</dcterms:modified>
</cp:coreProperties>
</file>